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A6" w:rsidRDefault="00185FA6" w:rsidP="00185FA6">
      <w:pPr>
        <w:spacing w:after="360" w:line="600" w:lineRule="atLeast"/>
        <w:outlineLvl w:val="0"/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</w:pPr>
      <w:proofErr w:type="spellStart"/>
      <w:r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Materi</w:t>
      </w:r>
      <w:proofErr w:type="spellEnd"/>
      <w:r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 xml:space="preserve"> </w:t>
      </w:r>
      <w:proofErr w:type="spellStart"/>
      <w:r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Strategi</w:t>
      </w:r>
      <w:proofErr w:type="spellEnd"/>
      <w:r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 xml:space="preserve"> </w:t>
      </w:r>
      <w:proofErr w:type="spellStart"/>
      <w:r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Pemasaran</w:t>
      </w:r>
      <w:proofErr w:type="spellEnd"/>
      <w:r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 xml:space="preserve"> </w:t>
      </w:r>
      <w:bookmarkStart w:id="0" w:name="_GoBack"/>
      <w:bookmarkEnd w:id="0"/>
    </w:p>
    <w:p w:rsidR="00185FA6" w:rsidRPr="00185FA6" w:rsidRDefault="00185FA6" w:rsidP="00185FA6">
      <w:pPr>
        <w:spacing w:after="360" w:line="600" w:lineRule="atLeast"/>
        <w:outlineLvl w:val="0"/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</w:pPr>
      <w:proofErr w:type="spellStart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Penetapan</w:t>
      </w:r>
      <w:proofErr w:type="spellEnd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 xml:space="preserve"> </w:t>
      </w:r>
      <w:proofErr w:type="spellStart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Harga</w:t>
      </w:r>
      <w:proofErr w:type="spellEnd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 xml:space="preserve">, </w:t>
      </w:r>
      <w:proofErr w:type="spellStart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Tujuan</w:t>
      </w:r>
      <w:proofErr w:type="spellEnd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 xml:space="preserve">, </w:t>
      </w:r>
      <w:proofErr w:type="spellStart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Metode</w:t>
      </w:r>
      <w:proofErr w:type="spellEnd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 xml:space="preserve"> </w:t>
      </w:r>
      <w:proofErr w:type="spellStart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dan</w:t>
      </w:r>
      <w:proofErr w:type="spellEnd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 xml:space="preserve"> </w:t>
      </w:r>
      <w:proofErr w:type="spellStart"/>
      <w:r w:rsidRPr="00185FA6">
        <w:rPr>
          <w:rFonts w:ascii="Graphik Semibold" w:eastAsia="Times New Roman" w:hAnsi="Graphik Semibold" w:cs="Times New Roman"/>
          <w:color w:val="2B2A35"/>
          <w:kern w:val="36"/>
          <w:sz w:val="48"/>
          <w:szCs w:val="48"/>
        </w:rPr>
        <w:t>Strategi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Menjalankan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sebuah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bisnis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jual-beli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tidak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akan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terlepas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permasalahan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.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memegang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peranan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penting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terjadinya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kesepakatan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jual-beli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produsen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konsumen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Melalui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akan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terlihat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posisi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kelayakan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nilai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ekonomisnya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.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Oleh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karena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permasalahan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biasanya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mengadakan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disepakati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sebelum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barang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beredar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di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pasaran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Menurut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Machfoedz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2005,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tujuan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suatu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adalah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mencapai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target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mendapatkan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laba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penjualan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meningkatkan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serta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mengembangkan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serta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meluaskan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target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pemasaran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suatu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jasa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tergantung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tujuan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penjual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memasarkan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tersebut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>
        <w:rPr>
          <w:rFonts w:ascii="Graphik Reguler" w:eastAsia="Times New Roman" w:hAnsi="Graphik Reguler" w:cs="Times New Roman"/>
          <w:color w:val="545465"/>
          <w:sz w:val="23"/>
          <w:szCs w:val="23"/>
        </w:rPr>
        <w:t>P</w:t>
      </w: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beberapa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tujuan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menurut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(2008).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Apa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sajakah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?</w:t>
      </w:r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1.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Mencapai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Penghasilan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atas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Investasi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Biasanya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besar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keuntungan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suatu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investasi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ditetapkan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persentasenya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mencapainya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diperlukan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tertentu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barang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dihasilkannya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2.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Kestabilan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Harga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Hal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biasanya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dilakukan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kebetulan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memegang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kendali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Usaha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pengendalian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diarahkan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terutama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mencegah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terjadinya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perang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khususnya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bila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menghadapi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permintaan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sedang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menurun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3.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Mempertahankan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Meningkatkan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Bagian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Pasar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Jika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mendapatkan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pangsa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pasar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luas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merkea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harus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berusaha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mempertahankannya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justru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mengembangkannya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kebijaksanaan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jangan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sampai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merugikan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bisnis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4.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Menghadapi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Mencegah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Persaingan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Jika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baru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mencoba-coba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memasuki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pasar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tujuan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mengetahui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pada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berapa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mereka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akan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menetapkan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penjualan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.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artinya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belum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tujuan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menetapkan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coba-coba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tersebut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5.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Memaksimalkan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Laba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Tujuan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biasanya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menjadi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acuan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setiap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bisnis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bertahan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hidup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karena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setiap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bisnis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memerlukan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laba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before="100" w:beforeAutospacing="1" w:after="100" w:afterAutospacing="1" w:line="240" w:lineRule="auto"/>
        <w:outlineLvl w:val="1"/>
        <w:rPr>
          <w:rFonts w:ascii="Graphik Reguler" w:eastAsia="Times New Roman" w:hAnsi="Graphik Reguler" w:cs="Times New Roman"/>
          <w:color w:val="545465"/>
          <w:sz w:val="36"/>
          <w:szCs w:val="36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lastRenderedPageBreak/>
        <w:t>Metode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>Harga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Secara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umum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terdapat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4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metode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menetapkan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yaitu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metode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berbasis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permintaan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berbasis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berbasis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laba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berbasis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persaingan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</w:t>
      </w:r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1.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Berbasis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Permintaan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Suatu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metode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menekankan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pada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berbagai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faktor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memengaruhi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selera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kesukaan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pelanggan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berdasarkan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kemampuan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kemauan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pelanggan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membeli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manfaat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diberikan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perilaku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konsumen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secara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umum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2.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Berbasis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Biaya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Faktor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dipengaruhi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aspek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penawaran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aspek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permintaan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akan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ditentukan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berdasarkan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pemasaran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ditambah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jumlah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tertentu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sehingga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menutupi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langsung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, </w:t>
      </w:r>
      <w:r w:rsidRPr="00185FA6">
        <w:rPr>
          <w:rFonts w:ascii="Graphik Reguler" w:eastAsia="Times New Roman" w:hAnsi="Graphik Reguler" w:cs="Times New Roman"/>
          <w:i/>
          <w:iCs/>
          <w:color w:val="545465"/>
          <w:sz w:val="23"/>
          <w:szCs w:val="23"/>
        </w:rPr>
        <w:t>overhead,</w:t>
      </w: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juga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laba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/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rugi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3.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Berbasis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Laba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didasarkan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pada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keseimbangan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pendapatan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Metode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3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pendekatan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yaitu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, target </w:t>
      </w:r>
      <w:r w:rsidRPr="00185FA6">
        <w:rPr>
          <w:rFonts w:ascii="Graphik Reguler" w:eastAsia="Times New Roman" w:hAnsi="Graphik Reguler" w:cs="Times New Roman"/>
          <w:i/>
          <w:iCs/>
          <w:color w:val="545465"/>
          <w:sz w:val="23"/>
          <w:szCs w:val="23"/>
        </w:rPr>
        <w:t>profit pricing</w:t>
      </w: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(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berdasarkan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target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keuntungan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), </w:t>
      </w:r>
      <w:r w:rsidRPr="00185FA6">
        <w:rPr>
          <w:rFonts w:ascii="Graphik Reguler" w:eastAsia="Times New Roman" w:hAnsi="Graphik Reguler" w:cs="Times New Roman"/>
          <w:i/>
          <w:iCs/>
          <w:color w:val="545465"/>
          <w:sz w:val="23"/>
          <w:szCs w:val="23"/>
        </w:rPr>
        <w:t>target return on sales pricing</w:t>
      </w: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(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berdasarkan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penjualan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)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target </w:t>
      </w:r>
      <w:r w:rsidRPr="00185FA6">
        <w:rPr>
          <w:rFonts w:ascii="Graphik Reguler" w:eastAsia="Times New Roman" w:hAnsi="Graphik Reguler" w:cs="Times New Roman"/>
          <w:i/>
          <w:iCs/>
          <w:color w:val="545465"/>
          <w:sz w:val="23"/>
          <w:szCs w:val="23"/>
        </w:rPr>
        <w:t>return on investment pricing</w:t>
      </w: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sebuah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4.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Berbasis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Persaingan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dilakukan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mengikuti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apa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dilakukan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pesaing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.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Metode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3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pendekatan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melalui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sistem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penjualan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di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bawah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normal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pesaing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menarik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konsumen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menyamakan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agar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persaingan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tidak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terlalu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besar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memberi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lebih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tinggi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pesaingnya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asumsi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bahwa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mereka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tawarkan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kualitas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lebih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baik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spacing w:before="100" w:beforeAutospacing="1" w:after="100" w:afterAutospacing="1" w:line="240" w:lineRule="auto"/>
        <w:outlineLvl w:val="1"/>
        <w:rPr>
          <w:rFonts w:ascii="Graphik Reguler" w:eastAsia="Times New Roman" w:hAnsi="Graphik Reguler" w:cs="Times New Roman"/>
          <w:color w:val="545465"/>
          <w:sz w:val="36"/>
          <w:szCs w:val="36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36"/>
          <w:szCs w:val="36"/>
        </w:rPr>
        <w:t>Harga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merupakan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proses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mengklasifikasikan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menggolongkan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dihasilkan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apakah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baru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beredar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1.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Baru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pengenalan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baru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perlu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Berikut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merupakan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efektif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terdapat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2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alterrnatif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yaitu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:</w:t>
      </w:r>
    </w:p>
    <w:p w:rsidR="00185FA6" w:rsidRPr="00185FA6" w:rsidRDefault="00185FA6" w:rsidP="00185FA6">
      <w:pPr>
        <w:numPr>
          <w:ilvl w:val="0"/>
          <w:numId w:val="1"/>
        </w:numPr>
        <w:spacing w:after="120" w:line="240" w:lineRule="auto"/>
        <w:ind w:left="-360"/>
        <w:outlineLvl w:val="3"/>
        <w:rPr>
          <w:rFonts w:ascii="Graphik Reguler" w:eastAsia="Times New Roman" w:hAnsi="Graphik Reguler" w:cs="Times New Roman"/>
          <w:color w:val="545465"/>
          <w:sz w:val="24"/>
          <w:szCs w:val="24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Mengapung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 xml:space="preserve"> (</w:t>
      </w:r>
      <w:r w:rsidRPr="00185FA6">
        <w:rPr>
          <w:rFonts w:ascii="Graphik Reguler" w:eastAsia="Times New Roman" w:hAnsi="Graphik Reguler" w:cs="Times New Roman"/>
          <w:i/>
          <w:iCs/>
          <w:color w:val="545465"/>
          <w:sz w:val="24"/>
          <w:szCs w:val="24"/>
        </w:rPr>
        <w:t>Skimming Price</w:t>
      </w:r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)</w:t>
      </w:r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lastRenderedPageBreak/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mengapung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adalah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memberikan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tinggi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agar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dapat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menutupi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sekaligus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meghasilkan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laba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maksimum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kata </w:t>
      </w:r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lain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hal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mampu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meyakinkan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pelanggan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bahwa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perbedaan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sejenis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oleh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pesaing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mengapung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disebut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juga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pendekatang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</w:t>
      </w:r>
      <w:r w:rsidRPr="00185FA6">
        <w:rPr>
          <w:rFonts w:ascii="Graphik Reguler" w:eastAsia="Times New Roman" w:hAnsi="Graphik Reguler" w:cs="Times New Roman"/>
          <w:i/>
          <w:iCs/>
          <w:color w:val="545465"/>
          <w:sz w:val="23"/>
          <w:szCs w:val="23"/>
        </w:rPr>
        <w:t>skimming,</w:t>
      </w: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pendekatan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sangat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efektif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apabila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terdapat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perbedaan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aspek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tertentu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pesaing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relatif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sedikit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Selain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pendekatan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</w:t>
      </w:r>
      <w:r w:rsidRPr="00185FA6">
        <w:rPr>
          <w:rFonts w:ascii="Graphik Reguler" w:eastAsia="Times New Roman" w:hAnsi="Graphik Reguler" w:cs="Times New Roman"/>
          <w:i/>
          <w:iCs/>
          <w:color w:val="545465"/>
          <w:sz w:val="23"/>
          <w:szCs w:val="23"/>
        </w:rPr>
        <w:t>skimming</w:t>
      </w: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 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bermanfaat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sebagai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pembatas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permintaan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suatu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sampai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merasa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siap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kembali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melakukan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secara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masal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numPr>
          <w:ilvl w:val="0"/>
          <w:numId w:val="2"/>
        </w:numPr>
        <w:spacing w:after="120" w:line="240" w:lineRule="auto"/>
        <w:ind w:left="-360"/>
        <w:outlineLvl w:val="3"/>
        <w:rPr>
          <w:rFonts w:ascii="Graphik Reguler" w:eastAsia="Times New Roman" w:hAnsi="Graphik Reguler" w:cs="Times New Roman"/>
          <w:color w:val="545465"/>
          <w:sz w:val="24"/>
          <w:szCs w:val="24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Penetrasi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penetrasi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adalah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memberikan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lebih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rendah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agar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tercipta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pangsa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pasar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permintaan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umumnya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diterapkan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pada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kondisi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pasar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tidak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terfragmentasi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aspek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berbeda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tidak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nilai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simbolis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tinggi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Jika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penetrasi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digunakan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akan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sangat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cocok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efektif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pasat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cenderuing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sensitif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terhadap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</w:p>
    <w:p w:rsidR="00185FA6" w:rsidRPr="00185FA6" w:rsidRDefault="00185FA6" w:rsidP="00185FA6">
      <w:pPr>
        <w:spacing w:before="100" w:beforeAutospacing="1" w:after="100" w:afterAutospacing="1" w:line="240" w:lineRule="auto"/>
        <w:outlineLvl w:val="2"/>
        <w:rPr>
          <w:rFonts w:ascii="Graphik Reguler" w:eastAsia="Times New Roman" w:hAnsi="Graphik Reguler" w:cs="Times New Roman"/>
          <w:color w:val="545465"/>
          <w:sz w:val="27"/>
          <w:szCs w:val="27"/>
        </w:rPr>
      </w:pPr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2.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Telah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7"/>
          <w:szCs w:val="27"/>
        </w:rPr>
        <w:t>Beredar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pada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beredar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di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masyarakat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umunya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tidak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lepas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posisi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siklus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Berikut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3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tingkatan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tahapan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siklus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diantaranya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:</w:t>
      </w:r>
    </w:p>
    <w:p w:rsidR="00185FA6" w:rsidRPr="00185FA6" w:rsidRDefault="00185FA6" w:rsidP="00185FA6">
      <w:pPr>
        <w:numPr>
          <w:ilvl w:val="0"/>
          <w:numId w:val="3"/>
        </w:numPr>
        <w:spacing w:after="120" w:line="240" w:lineRule="auto"/>
        <w:ind w:left="-360"/>
        <w:outlineLvl w:val="3"/>
        <w:rPr>
          <w:rFonts w:ascii="Graphik Reguler" w:eastAsia="Times New Roman" w:hAnsi="Graphik Reguler" w:cs="Times New Roman"/>
          <w:color w:val="545465"/>
          <w:sz w:val="24"/>
          <w:szCs w:val="24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Pertumbuhan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ciri-ciri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yaitu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penjualan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akan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meningkat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disertai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munculnya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pesaing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Saat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terjadi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pertumbuhan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cepat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biasanya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akan</w:t>
      </w:r>
      <w:proofErr w:type="spellEnd"/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digunakan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adalah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tetap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mempertahankan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pasar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.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Tapi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sebaliknya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jika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pertumbuhan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melambat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diterapkan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adalah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agresif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menurunkan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agar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bisa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mendorong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penjualan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sekaligus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mampu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menghadapi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persaingan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semakin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ketat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numPr>
          <w:ilvl w:val="0"/>
          <w:numId w:val="4"/>
        </w:numPr>
        <w:spacing w:after="120" w:line="240" w:lineRule="auto"/>
        <w:ind w:left="-360"/>
        <w:outlineLvl w:val="3"/>
        <w:rPr>
          <w:rFonts w:ascii="Graphik Reguler" w:eastAsia="Times New Roman" w:hAnsi="Graphik Reguler" w:cs="Times New Roman"/>
          <w:color w:val="545465"/>
          <w:sz w:val="24"/>
          <w:szCs w:val="24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Kematangan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kematangan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karakteristik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seperti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fleksibilitas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hal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tersebut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terjadi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karena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merupakan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efektivitas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Pada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umumnya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sudah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menjadi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kewajiban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perusahaan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menjadi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sosok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responsif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terhadap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situasi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pasar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konsumen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bahkan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pesaing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</w:p>
    <w:p w:rsidR="00185FA6" w:rsidRPr="00185FA6" w:rsidRDefault="00185FA6" w:rsidP="00185FA6">
      <w:pPr>
        <w:numPr>
          <w:ilvl w:val="0"/>
          <w:numId w:val="5"/>
        </w:numPr>
        <w:spacing w:after="120" w:line="240" w:lineRule="auto"/>
        <w:ind w:left="-360"/>
        <w:outlineLvl w:val="3"/>
        <w:rPr>
          <w:rFonts w:ascii="Graphik Reguler" w:eastAsia="Times New Roman" w:hAnsi="Graphik Reguler" w:cs="Times New Roman"/>
          <w:color w:val="545465"/>
          <w:sz w:val="24"/>
          <w:szCs w:val="24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4"/>
          <w:szCs w:val="24"/>
        </w:rPr>
        <w:t>Penurunan</w:t>
      </w:r>
      <w:proofErr w:type="spellEnd"/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umumnya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ditandai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menurunnya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jumlah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permintaan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secara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terus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menurus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Selain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merupakan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tahap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akhir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daur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hidup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dua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alternatif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langkah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utama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yaitu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:</w:t>
      </w:r>
    </w:p>
    <w:p w:rsidR="00185FA6" w:rsidRPr="00185FA6" w:rsidRDefault="00185FA6" w:rsidP="00185FA6">
      <w:pPr>
        <w:numPr>
          <w:ilvl w:val="0"/>
          <w:numId w:val="6"/>
        </w:numPr>
        <w:spacing w:before="100" w:beforeAutospacing="1" w:after="100" w:afterAutospacing="1" w:line="240" w:lineRule="auto"/>
        <w:ind w:left="-360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Strategi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diskonting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(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pemotongan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)</w:t>
      </w:r>
    </w:p>
    <w:p w:rsidR="00185FA6" w:rsidRPr="00185FA6" w:rsidRDefault="00185FA6" w:rsidP="00185FA6">
      <w:pPr>
        <w:numPr>
          <w:ilvl w:val="0"/>
          <w:numId w:val="6"/>
        </w:numPr>
        <w:spacing w:before="100" w:beforeAutospacing="1" w:after="100" w:afterAutospacing="1" w:line="240" w:lineRule="auto"/>
        <w:ind w:left="-360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Mempertahankan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namun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memotong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biaya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berhubungan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khususnya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dalam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pengeluaran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promosi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gram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proses</w:t>
      </w:r>
      <w:proofErr w:type="gram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penetapan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suatu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bisnis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harus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memiliki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wawasan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tentang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kondisi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produk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keuangan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hasil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akhir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berupa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profit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atau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keuntungan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ingin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dicapai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.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mengetahui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semua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proses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ini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dengan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baik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suatu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bisnis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membutuhkan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perhitungan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akuntansi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tidak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hanya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memuat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angka-angka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nominal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pengeluaran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pemasukan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,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namun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juga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sistem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akuntansi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yang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mampu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lastRenderedPageBreak/>
        <w:t>menyajikan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suatu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prediksi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berbentuk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tabel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maupun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grafik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data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untuk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memudahkan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penilaian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secara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cepat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dan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 xml:space="preserve"> </w:t>
      </w:r>
      <w:proofErr w:type="spellStart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akurat</w:t>
      </w:r>
      <w:proofErr w:type="spellEnd"/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</w:p>
    <w:p w:rsidR="00185FA6" w:rsidRPr="00185FA6" w:rsidRDefault="00185FA6" w:rsidP="00185FA6">
      <w:pPr>
        <w:spacing w:after="100" w:afterAutospacing="1"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  <w:r w:rsidRPr="00185FA6">
        <w:rPr>
          <w:rFonts w:ascii="Graphik Reguler" w:eastAsia="Times New Roman" w:hAnsi="Graphik Reguler" w:cs="Times New Roman"/>
          <w:color w:val="545465"/>
          <w:sz w:val="23"/>
          <w:szCs w:val="23"/>
        </w:rPr>
        <w:t>.</w:t>
      </w:r>
    </w:p>
    <w:p w:rsidR="00185FA6" w:rsidRPr="00185FA6" w:rsidRDefault="00185FA6" w:rsidP="00185FA6">
      <w:pPr>
        <w:spacing w:line="240" w:lineRule="auto"/>
        <w:rPr>
          <w:rFonts w:ascii="Graphik Reguler" w:eastAsia="Times New Roman" w:hAnsi="Graphik Reguler" w:cs="Times New Roman"/>
          <w:color w:val="545465"/>
          <w:sz w:val="23"/>
          <w:szCs w:val="23"/>
        </w:rPr>
      </w:pPr>
    </w:p>
    <w:p w:rsidR="0094177C" w:rsidRDefault="0094177C"/>
    <w:sectPr w:rsidR="00941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Semibold">
    <w:altName w:val="Times New Roman"/>
    <w:panose1 w:val="00000000000000000000"/>
    <w:charset w:val="00"/>
    <w:family w:val="roman"/>
    <w:notTrueType/>
    <w:pitch w:val="default"/>
  </w:font>
  <w:font w:name="Graphik Regul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0C6"/>
    <w:multiLevelType w:val="multilevel"/>
    <w:tmpl w:val="6AAE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216375"/>
    <w:multiLevelType w:val="multilevel"/>
    <w:tmpl w:val="B46C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DF449F"/>
    <w:multiLevelType w:val="multilevel"/>
    <w:tmpl w:val="A6D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F20D0F"/>
    <w:multiLevelType w:val="multilevel"/>
    <w:tmpl w:val="3F7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AC6A47"/>
    <w:multiLevelType w:val="multilevel"/>
    <w:tmpl w:val="EF24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2D13A9"/>
    <w:multiLevelType w:val="multilevel"/>
    <w:tmpl w:val="CBCC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A6"/>
    <w:rsid w:val="00185FA6"/>
    <w:rsid w:val="0094177C"/>
    <w:rsid w:val="00E5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8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012">
              <w:marLeft w:val="0"/>
              <w:marRight w:val="0"/>
              <w:marTop w:val="75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733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3850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5153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370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92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4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8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97820">
                                                  <w:marLeft w:val="21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2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10634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39784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9631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2834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832350">
                                              <w:marLeft w:val="0"/>
                                              <w:marRight w:val="0"/>
                                              <w:marTop w:val="3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245564">
                                                  <w:marLeft w:val="21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95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52969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1717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21570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88552">
                                              <w:marLeft w:val="0"/>
                                              <w:marRight w:val="0"/>
                                              <w:marTop w:val="3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43325">
                                                  <w:marLeft w:val="21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20993">
                                                          <w:marLeft w:val="21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85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42473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70962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1521">
                                                          <w:marLeft w:val="21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64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53955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4423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65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3269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2020-09-24T07:36:00Z</dcterms:created>
  <dcterms:modified xsi:type="dcterms:W3CDTF">2023-09-02T10:47:00Z</dcterms:modified>
</cp:coreProperties>
</file>