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ED" w:rsidRDefault="00E65FED" w:rsidP="00E65FED">
      <w:pPr>
        <w:shd w:val="clear" w:color="auto" w:fill="FFFFFF"/>
        <w:spacing w:after="300" w:line="288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3A3A3A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3A3A3A"/>
          <w:kern w:val="36"/>
          <w:sz w:val="24"/>
          <w:szCs w:val="24"/>
        </w:rPr>
        <w:t xml:space="preserve">neraca </w:t>
      </w:r>
      <w:bookmarkStart w:id="0" w:name="_GoBack"/>
      <w:bookmarkEnd w:id="0"/>
    </w:p>
    <w:p w:rsidR="00E65FED" w:rsidRPr="00E65FED" w:rsidRDefault="00E65FED" w:rsidP="00E65FED">
      <w:pPr>
        <w:shd w:val="clear" w:color="auto" w:fill="FFFFFF"/>
        <w:spacing w:after="300" w:line="288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3A3A3A"/>
          <w:kern w:val="36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b/>
          <w:bCs/>
          <w:caps/>
          <w:color w:val="3A3A3A"/>
          <w:kern w:val="36"/>
          <w:sz w:val="24"/>
          <w:szCs w:val="24"/>
        </w:rPr>
        <w:t>PENGERTIAN DAN CARA MENYUSUN LAPORAN NERACA KEUANGAN PERUSAHAAN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Dalam laporan keuangan, </w:t>
      </w:r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neraca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adalah salah satu yang terpenting untuk perusahaan.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Dalam bidang akuntansi dan manajemen, membuat laporan keuangan merupakan hal yang umum.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Namun, sebelum memahami lebih dalam tentang bagaimana membaca</w:t>
      </w:r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 laporan keuanga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n, ada baiknya Anda mengenal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apa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saja laporan keuangan, neraca untuk perusahaan dan cara membuatnya.</w:t>
      </w: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Laporan keuangan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merupakan informasi mengenai kondisi keuangan suatu perusahaan yang bisa digunakan untuk melihat kinerja dari perusahaan tersebut, salah satunya adalah neraca.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Dengan laporan keuangan ini, para pelaku </w:t>
      </w:r>
      <w:hyperlink r:id="rId6" w:history="1">
        <w:r w:rsidRPr="00E65FED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bdr w:val="none" w:sz="0" w:space="0" w:color="auto" w:frame="1"/>
          </w:rPr>
          <w:t>bisnis</w:t>
        </w:r>
      </w:hyperlink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 bisa menganalisis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apa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yang sedang terjadi di dalam perusahaan tersebut.</w:t>
      </w: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Apabila Anda belum memiliki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tim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keuangan, Anda dapat outsource proses ini dengan berlangganan paket </w:t>
      </w:r>
      <w:hyperlink r:id="rId7" w:history="1">
        <w:r w:rsidRPr="00E65FED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bdr w:val="none" w:sz="0" w:space="0" w:color="auto" w:frame="1"/>
          </w:rPr>
          <w:t>jasa pembuatan laporan keuangan</w:t>
        </w:r>
      </w:hyperlink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dari PAKAR Bisnis.</w:t>
      </w:r>
    </w:p>
    <w:p w:rsidR="00E65FED" w:rsidRPr="00E65FED" w:rsidRDefault="00E65FED" w:rsidP="00E65FED">
      <w:pPr>
        <w:shd w:val="clear" w:color="auto" w:fill="FFFFFF"/>
        <w:spacing w:after="300" w:line="288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b/>
          <w:bCs/>
          <w:caps/>
          <w:color w:val="3A3A3A"/>
          <w:sz w:val="24"/>
          <w:szCs w:val="24"/>
        </w:rPr>
        <w:t>APA YANG DIMAKSUD NERACA?</w:t>
      </w:r>
      <w:proofErr w:type="gramEnd"/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Neraca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merupakan laporan keuangan yang di dalamnya terdapat informasi terkait akun-akun aktiva, modal serta kewajiban perusahaan pada satu periode tertentu.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Pada umumnya, neraca ini terbagi dalam dua macam, yaitu bentuk vertikal (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stafel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) dan bentuk horizontal (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skontro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).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Nilai modal yang ada pada neraca nilai yang    tercantum dalam laporan perubahan modal.</w:t>
      </w:r>
      <w:proofErr w:type="gramEnd"/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Pada laporan neraca bisa memperoleh keseimbangan karena terdiri dari pendapatan dan biaya yang tercantum pada laporan laba rugi.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Apabila sebuah perusahaan gagal dalam menyusun neraca, bisa dibilang itu merupakan kegagalan dari seluruh manajemen perusahaan tersebut.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Hal ini dikarenakan di dalam laporan neraca sendiri ada informasi sangat berguna untuk pihak-pihak yang memiliki kepentingan seperti pemegang saham, kreditur, pemerintah dan lainnya agar bisa menentukan kebijakan ke depannya.</w:t>
      </w:r>
      <w:proofErr w:type="gramEnd"/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Selain itu,</w:t>
      </w:r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 neraca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memiliki kegunaan untuk melihat apakah kondisi keuangan sebuah perusahaan sehat atau tidak.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Tak hanya itu, neraca juga dapat dipakai untuk memperkirakan keadaan aliran kas di masa depan, serta berfungsi sebagai alat menganalisa </w:t>
      </w:r>
      <w:hyperlink r:id="rId8" w:history="1">
        <w:r w:rsidRPr="00E65FED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bdr w:val="none" w:sz="0" w:space="0" w:color="auto" w:frame="1"/>
          </w:rPr>
          <w:t>likuiditas</w:t>
        </w:r>
      </w:hyperlink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dan fleksibilitas keuangan perusahaan.</w:t>
      </w:r>
      <w:proofErr w:type="gramEnd"/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Apabila Anda belum memiliki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tim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pajak, Anda bisa menghubungi PAKAR Bisnis sebagai </w:t>
      </w:r>
      <w:hyperlink r:id="rId9" w:history="1">
        <w:r w:rsidRPr="00E65FED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bdr w:val="none" w:sz="0" w:space="0" w:color="auto" w:frame="1"/>
          </w:rPr>
          <w:t>konsultan pajak di Jakarta</w:t>
        </w:r>
      </w:hyperlink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.</w:t>
      </w:r>
    </w:p>
    <w:p w:rsidR="00E65FED" w:rsidRPr="00E65FED" w:rsidRDefault="00E65FED" w:rsidP="00E65FED">
      <w:pPr>
        <w:shd w:val="clear" w:color="auto" w:fill="FFFFFF"/>
        <w:spacing w:after="300" w:line="288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b/>
          <w:bCs/>
          <w:caps/>
          <w:color w:val="3A3A3A"/>
          <w:sz w:val="24"/>
          <w:szCs w:val="24"/>
        </w:rPr>
        <w:t>KOMPONEN NERACA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Jika menilik dari pengertian neraca, maka bisa disimpulkan bahwa terdapat tiga komponen penting pada </w:t>
      </w:r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laporan neraca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, yakni:</w:t>
      </w:r>
    </w:p>
    <w:p w:rsidR="00E65FED" w:rsidRPr="00E65FED" w:rsidRDefault="00E65FED" w:rsidP="00E65F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lastRenderedPageBreak/>
        <w:t>Aktiva</w:t>
      </w: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Kekayaan dari perusahaan yang punya nilai manfaat untuk masa depan, seperti kendaraan, tanah, gedung, dan lainnya.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Aktiva sendiri terdiri dari dua macam, yaitu aktiva lancar (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current assets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), dan aktiva tetap (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tangiable fixes assets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).</w:t>
      </w:r>
      <w:proofErr w:type="gramEnd"/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Aset lancar merupakan aktiva yang bisa dicairkan relatif lebih cepat, artinya bisa diubah menjadi sebuah kas dalam waktu setahun bahkan kurang.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Sementara aset tetap adalah aset yang memiliki manfaat dalam waktu yang lama.</w:t>
      </w:r>
      <w:proofErr w:type="gramEnd"/>
    </w:p>
    <w:p w:rsidR="00E65FED" w:rsidRPr="00E65FED" w:rsidRDefault="00E65FED" w:rsidP="00E65FE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Kewajiban</w:t>
      </w: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Kewajiban atau liabilitas terdiri dari beberapa macam, yaitu hutang lancar (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current liabilities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), dan hutang jangka panjang (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long term liabilities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).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Namun, secara pengertiannya kewajiban merupakan utang yang dibayarkan oleh perushaan kepada pemberi pinjaman atau kreditur dan pihak-pihak lainnya.</w:t>
      </w:r>
      <w:proofErr w:type="gramEnd"/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Kewajiban hutang lancar adalah kewajiban dengan jatuh tempo satu tahun.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Contohnya, utang dagang,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wesel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tagihan, gaji dan pajak yang perlu dibayarkan.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Lalu kewajiban hutang jangka panjang adalah kewajiban perusahaan untuk melakukan pembayaran dengan jatuh tempo lebih dari setahun.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Contohnya, pinjaman berjangka dan obligasi dengan jatuh tempo lebih dari satu tahun.</w:t>
      </w:r>
      <w:proofErr w:type="gramEnd"/>
    </w:p>
    <w:p w:rsidR="00E65FED" w:rsidRPr="00E65FED" w:rsidRDefault="00E65FED" w:rsidP="00E65FE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Modal</w:t>
      </w: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Kekayaan perusahaan yang berasal dari pemilik perusahaan.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Modal perusahaan bisa terus bertambah apabila pemilik menambahkan investasi di perusahaannya dan memperoleh keuntungan.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Akan tetapi, modal bisa juga berkurang jika pemilik perusahaan menarik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dana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investasinya atau 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prive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dan apabila perusahaan mengalami kerugian.</w:t>
      </w: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Letak 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prive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pada laporan neraca perusahaan dicantumkan di bagian ekuitas atau modal, dengan mengurangi saldo modal.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Kemudian pada bagian modal, terdapat dua komponen di dalamnya, yaitu:</w:t>
      </w:r>
    </w:p>
    <w:p w:rsidR="00E65FED" w:rsidRPr="00E65FED" w:rsidRDefault="00E65FED" w:rsidP="00E65FE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Saham disetor</w:t>
      </w: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Maksudnya adalah jumlah kas yang diserahkan oleh pemegang saham atau 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stakeholder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kepada perusahaan.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Dana dari saham tersebut nantinya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akan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digunakan untuk berbagai kebutuhan perusahaan, misalnya membeli aset atau untuk modal kerja.</w:t>
      </w:r>
    </w:p>
    <w:p w:rsidR="00E65FED" w:rsidRPr="00E65FED" w:rsidRDefault="00E65FED" w:rsidP="00E65FE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Laba ditahan</w:t>
      </w: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Arti dari laba ditahan adalah laba perusahaan yang tidak di 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share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atau dibagikan kepada para pemegang saham.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Laba ditahan ini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akan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terus menerus terakumulasi dari waktu ke waktu saat sebagian keuntungan perusahaan tidak seluruhnya dibagikan sebagai bentuk deviden.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Dari ketiga komponen penting pada laporan neraca tersebut, jika dihubungkan dengan prinsip akuntansi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akan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didapat persamaan dasar sebagai berikut: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Aktiva = Kewajiban + Modal</w:t>
      </w:r>
    </w:p>
    <w:p w:rsidR="00E65FED" w:rsidRPr="00E65FED" w:rsidRDefault="00E65FED" w:rsidP="00E65FED">
      <w:pPr>
        <w:shd w:val="clear" w:color="auto" w:fill="FFFFFF"/>
        <w:spacing w:after="300" w:line="288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b/>
          <w:bCs/>
          <w:caps/>
          <w:color w:val="3A3A3A"/>
          <w:sz w:val="24"/>
          <w:szCs w:val="24"/>
        </w:rPr>
        <w:t>BENTUK LAPORAN NERACA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Seperti yang sudah disebutkan di atas, bahwa bentuk dari </w:t>
      </w:r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laporan neraca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ini ada dua macam.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Bentuk laporan yang memanjang ke bawah disebut 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stafel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Lalu susunan laporan neraca dengan bentuk ke samping dinamakan 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skontro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Kedua bentuk ini bisa diterapkan oleh siapapun.</w:t>
      </w:r>
      <w:proofErr w:type="gramEnd"/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Namun, ada yang harus diperhatikan dalam penyusunannya supaya bisa disesuaikan dengan jumlah pos akun yang dipakai perusahaan.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Jika akun yang digunakan banyak, neraca bentuk 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stafel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lebih efektif.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Sedangkan bentuk neraca 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skontro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lebih mudah diterapkan di perusahaan yang punya akun dan jumlah nominalnya sedikit, seperti bisnis UKM.</w:t>
      </w:r>
      <w:proofErr w:type="gramEnd"/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Adapun contoh laporan neraca bentuk 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stafel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seperti di bawah ini: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noProof/>
          <w:color w:val="3A3A3A"/>
          <w:sz w:val="24"/>
          <w:szCs w:val="24"/>
        </w:rPr>
        <w:drawing>
          <wp:inline distT="0" distB="0" distL="0" distR="0" wp14:anchorId="227FB023" wp14:editId="1794F00E">
            <wp:extent cx="6328553" cy="6134644"/>
            <wp:effectExtent l="0" t="0" r="0" b="0"/>
            <wp:docPr id="5" name="Picture 5" descr="https://pakar.co.id/storage/2020/01/Bentuk-Laporan-Nerac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akar.co.id/storage/2020/01/Bentuk-Laporan-Neraca-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732" cy="613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Sedangkan neraca dengan bentuk 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skontro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bisa dilihat pada contoh berikut ini: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noProof/>
          <w:color w:val="3A3A3A"/>
          <w:sz w:val="24"/>
          <w:szCs w:val="24"/>
        </w:rPr>
        <w:lastRenderedPageBreak/>
        <w:drawing>
          <wp:inline distT="0" distB="0" distL="0" distR="0" wp14:anchorId="47CA0B8C" wp14:editId="2D29D81F">
            <wp:extent cx="5860933" cy="4227982"/>
            <wp:effectExtent l="0" t="0" r="6985" b="1270"/>
            <wp:docPr id="6" name="Picture 6" descr="https://pakar.co.id/storage/2020/01/Bentuk-Laporan-Neraca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kar.co.id/storage/2020/01/Bentuk-Laporan-Neraca-1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99" cy="422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Dari contoh neraca </w:t>
      </w:r>
      <w:r w:rsidRPr="00E65FE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bdr w:val="none" w:sz="0" w:space="0" w:color="auto" w:frame="1"/>
        </w:rPr>
        <w:t>skontro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di atas, bisa dilihat posisi sebelah kiri laporan terdiri dari Aktiva (kekayaan perusahaan), yang terbagi menjadi dua komponen yaitu Aktiva lancar dan Aktiva tetap.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Komponen aktiva ini termasuk dalam kelompok investasi pada manajemen keuangan perushaan.</w:t>
      </w:r>
      <w:proofErr w:type="gramEnd"/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Sementara pada posisi sebelah kanan, terdiri dari kewajiban (hutang) dan modal (ekuitas) perusahaan.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Keduanya merupakan sumber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dana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bagi perusahaan di dalam manajemen keuangan.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b/>
          <w:bCs/>
          <w:caps/>
          <w:color w:val="3A3A3A"/>
          <w:sz w:val="24"/>
          <w:szCs w:val="24"/>
        </w:rPr>
        <w:t>LAPORAN NERACA PERUSAHAAN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Langkah-langkah dalam pembuatan neraca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akan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ditemukan banyak angka-angka untuk diinput ke dalam pos-pos kerangka neraca.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Angka-angka tersebut merupakan nilai transaksi atau nilai dari kegiatan perekonomian perusahaan.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Untuk prosesnya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akan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melalui beberapa tahap, diantaranya:</w:t>
      </w:r>
    </w:p>
    <w:p w:rsidR="00E65FED" w:rsidRPr="00E65FED" w:rsidRDefault="00E65FED" w:rsidP="00E65FE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Menyusun jurnal neraca</w:t>
      </w:r>
    </w:p>
    <w:p w:rsidR="00E65FED" w:rsidRPr="00E65FED" w:rsidRDefault="00E65FED" w:rsidP="00E65FE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Mempostingnya ke dalam buku besar</w:t>
      </w:r>
    </w:p>
    <w:p w:rsidR="00E65FED" w:rsidRPr="00E65FED" w:rsidRDefault="00E65FED" w:rsidP="00E65FE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Membuat laporan laba rugi</w:t>
      </w:r>
    </w:p>
    <w:p w:rsidR="00E65FED" w:rsidRPr="00E65FED" w:rsidRDefault="00E65FED" w:rsidP="00E65FE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Membuat laporan perubahan modal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Setelah menyelesaikan empat tahap tersebut, barulah bisa memulai membuat laporan neraca.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Dalam menentukan angkanya, Anda mengutipnya dari buku besar, kemudia penyusunan laba rugi dan perubahan modal dahulu.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Ini supaya dapat diketahui laba yang diperoleh dan laba tersebut nantinya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akan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dimasukkan sebagai modal pemilik pada laporan neracanya.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Berikut contoh yang bisa dilihat dari laporan neraca:</w:t>
      </w:r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noProof/>
          <w:color w:val="3A3A3A"/>
          <w:sz w:val="24"/>
          <w:szCs w:val="24"/>
        </w:rPr>
        <w:lastRenderedPageBreak/>
        <w:drawing>
          <wp:inline distT="0" distB="0" distL="0" distR="0" wp14:anchorId="3954E412" wp14:editId="08BE52F8">
            <wp:extent cx="6210297" cy="8573159"/>
            <wp:effectExtent l="0" t="0" r="635" b="0"/>
            <wp:docPr id="9" name="Picture 9" descr="https://pakar.co.id/storage/2020/01/Cara-Membuat-Laporan-Neraca-Perusahaa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akar.co.id/storage/2020/01/Cara-Membuat-Laporan-Neraca-Perusahaan-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472" cy="857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FED" w:rsidRPr="00E65FED" w:rsidRDefault="00E65FED" w:rsidP="00E65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Dapat dikatakan, neraca sebagai gambaran posisi keuangan perusahaan pada suatu periode.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</w:t>
      </w:r>
      <w:proofErr w:type="gramStart"/>
      <w:r w:rsidRPr="00E65FED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Neraca</w:t>
      </w: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 bisa berubah setiap harinya seiring dengan bertambah dan berkurangnya persediaan, naik atau turunnya pinjaman bank, dan meningkatnya atau dihentikannya aset tetap perusahaan.</w:t>
      </w:r>
      <w:proofErr w:type="gramEnd"/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Perusahaan yang sifat bisnisnya musiman, tentu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akan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mengalami perubahan laporan neraca yang besar sepanjang tahun.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Seperti halnya pedagang ritel yang sebagian besar sudah punya persediaan tinggi menjelang hari libur atau hari raya.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Tetapi sesudahnya, persediaan menjadi rendah dan piutang usaha meningkat.</w:t>
      </w:r>
      <w:proofErr w:type="gramEnd"/>
    </w:p>
    <w:p w:rsidR="00E65FED" w:rsidRPr="00E65FED" w:rsidRDefault="00E65FED" w:rsidP="00E65FE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Pada intinya setelah laporan neraca selesai tersusun, perhatikan selalu jumlah dari total aktiva dan passiva.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Apakah keduanya sudah seimbang?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Jika sudah berarti tak ada masalah dengan neraca keuangan perusahaan.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Akan tetapi jika nominalnya tidak </w:t>
      </w:r>
      <w:proofErr w:type="gramStart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sama</w:t>
      </w:r>
      <w:proofErr w:type="gramEnd"/>
      <w:r w:rsidRPr="00E65FED">
        <w:rPr>
          <w:rFonts w:ascii="Times New Roman" w:eastAsia="Times New Roman" w:hAnsi="Times New Roman" w:cs="Times New Roman"/>
          <w:color w:val="3A3A3A"/>
          <w:sz w:val="24"/>
          <w:szCs w:val="24"/>
        </w:rPr>
        <w:t>, maka Anda perlu meneliti ulang letak kesalahan, mulai dari jurnal hingga neraca lajurnya.</w:t>
      </w:r>
    </w:p>
    <w:p w:rsidR="0008728C" w:rsidRPr="00E65FED" w:rsidRDefault="0008728C" w:rsidP="00E65FED">
      <w:pPr>
        <w:rPr>
          <w:rFonts w:ascii="Times New Roman" w:hAnsi="Times New Roman" w:cs="Times New Roman"/>
          <w:sz w:val="24"/>
          <w:szCs w:val="24"/>
        </w:rPr>
      </w:pPr>
    </w:p>
    <w:sectPr w:rsidR="0008728C" w:rsidRPr="00E65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083C"/>
    <w:multiLevelType w:val="multilevel"/>
    <w:tmpl w:val="2252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454053"/>
    <w:multiLevelType w:val="multilevel"/>
    <w:tmpl w:val="D8A2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B71A8"/>
    <w:multiLevelType w:val="multilevel"/>
    <w:tmpl w:val="0FD0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F3090B"/>
    <w:multiLevelType w:val="multilevel"/>
    <w:tmpl w:val="179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D0E78"/>
    <w:multiLevelType w:val="multilevel"/>
    <w:tmpl w:val="A48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AD2E30"/>
    <w:multiLevelType w:val="multilevel"/>
    <w:tmpl w:val="52E69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D1DE6"/>
    <w:multiLevelType w:val="multilevel"/>
    <w:tmpl w:val="4EEE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012AE"/>
    <w:multiLevelType w:val="multilevel"/>
    <w:tmpl w:val="99E2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29324F"/>
    <w:multiLevelType w:val="multilevel"/>
    <w:tmpl w:val="700E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4F13D7"/>
    <w:multiLevelType w:val="multilevel"/>
    <w:tmpl w:val="A30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0427C4"/>
    <w:multiLevelType w:val="multilevel"/>
    <w:tmpl w:val="694E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ED"/>
    <w:rsid w:val="0008728C"/>
    <w:rsid w:val="00E6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428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8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765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83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0988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0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2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5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0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2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2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90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1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83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9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3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3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12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1021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5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Likuidita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snis.pakar.co.id/jasa-akuntansi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.wikipedia.org/wiki/Bisnis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bisnis.pakar.co.id/jasa-konsultan-paja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2023-03-07T11:32:00Z</dcterms:created>
  <dcterms:modified xsi:type="dcterms:W3CDTF">2023-03-07T11:38:00Z</dcterms:modified>
</cp:coreProperties>
</file>